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78" w:rsidRPr="009149D2" w:rsidRDefault="00856778" w:rsidP="00E532EB">
      <w:pPr>
        <w:jc w:val="center"/>
        <w:rPr>
          <w:b/>
          <w:sz w:val="22"/>
          <w:szCs w:val="22"/>
        </w:rPr>
      </w:pPr>
      <w:r w:rsidRPr="009149D2">
        <w:rPr>
          <w:b/>
          <w:sz w:val="22"/>
          <w:szCs w:val="22"/>
        </w:rPr>
        <w:t>FEES &amp; GLOSSARY OF SERVICES</w:t>
      </w:r>
      <w:bookmarkStart w:id="0" w:name="_GoBack"/>
      <w:bookmarkEnd w:id="0"/>
    </w:p>
    <w:p w:rsidR="009149D2" w:rsidRPr="009149D2" w:rsidRDefault="009149D2" w:rsidP="00CE5B42">
      <w:pPr>
        <w:jc w:val="center"/>
        <w:rPr>
          <w:sz w:val="22"/>
          <w:szCs w:val="22"/>
        </w:rPr>
      </w:pPr>
      <w:r w:rsidRPr="009149D2">
        <w:rPr>
          <w:sz w:val="22"/>
          <w:szCs w:val="22"/>
        </w:rPr>
        <w:t xml:space="preserve">Revised Fee Schedule Effective </w:t>
      </w:r>
      <w:r w:rsidR="00C84ED2">
        <w:rPr>
          <w:sz w:val="22"/>
          <w:szCs w:val="22"/>
        </w:rPr>
        <w:t>October 2019</w:t>
      </w:r>
    </w:p>
    <w:p w:rsidR="00856778" w:rsidRPr="00856778" w:rsidRDefault="00856778">
      <w:pPr>
        <w:rPr>
          <w:sz w:val="22"/>
          <w:szCs w:val="22"/>
        </w:rPr>
      </w:pPr>
    </w:p>
    <w:tbl>
      <w:tblPr>
        <w:tblStyle w:val="LightGrid1"/>
        <w:tblW w:w="0" w:type="auto"/>
        <w:tblLook w:val="04A0" w:firstRow="1" w:lastRow="0" w:firstColumn="1" w:lastColumn="0" w:noHBand="0" w:noVBand="1"/>
      </w:tblPr>
      <w:tblGrid>
        <w:gridCol w:w="7745"/>
        <w:gridCol w:w="1595"/>
      </w:tblGrid>
      <w:tr w:rsidR="00933518" w:rsidRPr="00856778" w:rsidTr="00591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933518" w:rsidRPr="00972B0D" w:rsidRDefault="00933518" w:rsidP="00933518">
            <w:pPr>
              <w:jc w:val="center"/>
              <w:rPr>
                <w:sz w:val="22"/>
                <w:szCs w:val="22"/>
              </w:rPr>
            </w:pPr>
            <w:r w:rsidRPr="00972B0D">
              <w:rPr>
                <w:sz w:val="22"/>
                <w:szCs w:val="22"/>
              </w:rPr>
              <w:t>SERVICE</w:t>
            </w:r>
          </w:p>
        </w:tc>
        <w:tc>
          <w:tcPr>
            <w:tcW w:w="1638" w:type="dxa"/>
          </w:tcPr>
          <w:p w:rsidR="00933518" w:rsidRPr="00933518" w:rsidRDefault="00933518" w:rsidP="00933518">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933518">
              <w:rPr>
                <w:sz w:val="22"/>
                <w:szCs w:val="22"/>
              </w:rPr>
              <w:t>COST</w:t>
            </w:r>
          </w:p>
        </w:tc>
      </w:tr>
      <w:tr w:rsidR="00F3409D"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F3409D" w:rsidRPr="003F7358" w:rsidRDefault="00F3409D" w:rsidP="00F3409D">
            <w:pPr>
              <w:rPr>
                <w:b w:val="0"/>
              </w:rPr>
            </w:pPr>
            <w:r w:rsidRPr="003F7358">
              <w:t>Access Facilitation</w:t>
            </w:r>
            <w:r w:rsidRPr="003F7358">
              <w:rPr>
                <w:b w:val="0"/>
              </w:rPr>
              <w:t>-A social worker creates an agreed interim parenting plan OR makes a recommendation for Access and Possession.</w:t>
            </w:r>
          </w:p>
        </w:tc>
        <w:tc>
          <w:tcPr>
            <w:tcW w:w="1638" w:type="dxa"/>
            <w:shd w:val="clear" w:color="auto" w:fill="F2F2F2" w:themeFill="background1" w:themeFillShade="F2"/>
          </w:tcPr>
          <w:p w:rsidR="00F3409D" w:rsidRPr="003F7358" w:rsidRDefault="00F3409D" w:rsidP="00856778">
            <w:pPr>
              <w:jc w:val="right"/>
              <w:cnfStyle w:val="000000100000" w:firstRow="0" w:lastRow="0" w:firstColumn="0" w:lastColumn="0" w:oddVBand="0" w:evenVBand="0" w:oddHBand="1" w:evenHBand="0" w:firstRowFirstColumn="0" w:firstRowLastColumn="0" w:lastRowFirstColumn="0" w:lastRowLastColumn="0"/>
            </w:pPr>
            <w:r w:rsidRPr="003F7358">
              <w:t>$0</w:t>
            </w:r>
          </w:p>
        </w:tc>
      </w:tr>
      <w:tr w:rsidR="00F3409D" w:rsidRPr="003F7358" w:rsidTr="005919FA">
        <w:trPr>
          <w:cnfStyle w:val="000000010000" w:firstRow="0" w:lastRow="0" w:firstColumn="0" w:lastColumn="0" w:oddVBand="0" w:evenVBand="0" w:oddHBand="0" w:evenHBand="1"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7938" w:type="dxa"/>
          </w:tcPr>
          <w:p w:rsidR="00F3409D" w:rsidRPr="003F7358" w:rsidRDefault="00F3409D" w:rsidP="00F3409D">
            <w:pPr>
              <w:tabs>
                <w:tab w:val="left" w:pos="3366"/>
              </w:tabs>
              <w:rPr>
                <w:b w:val="0"/>
              </w:rPr>
            </w:pPr>
            <w:r w:rsidRPr="003F7358">
              <w:t>Access Facilitation and Monitoring</w:t>
            </w:r>
            <w:r w:rsidRPr="003F7358">
              <w:rPr>
                <w:b w:val="0"/>
              </w:rPr>
              <w:t>-A court orders access and possession in combination with a social worker monitoring to ensure the parties are following the order from the court.</w:t>
            </w:r>
          </w:p>
        </w:tc>
        <w:tc>
          <w:tcPr>
            <w:tcW w:w="1638" w:type="dxa"/>
          </w:tcPr>
          <w:p w:rsidR="00F3409D" w:rsidRPr="003F7358" w:rsidRDefault="00F3409D" w:rsidP="00856778">
            <w:pPr>
              <w:jc w:val="right"/>
              <w:cnfStyle w:val="000000010000" w:firstRow="0" w:lastRow="0" w:firstColumn="0" w:lastColumn="0" w:oddVBand="0" w:evenVBand="0" w:oddHBand="0" w:evenHBand="1" w:firstRowFirstColumn="0" w:firstRowLastColumn="0" w:lastRowFirstColumn="0" w:lastRowLastColumn="0"/>
            </w:pPr>
            <w:r w:rsidRPr="003F7358">
              <w:t>$0</w:t>
            </w:r>
          </w:p>
        </w:tc>
      </w:tr>
      <w:tr w:rsidR="00F3409D"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F3409D" w:rsidRPr="003F7358" w:rsidRDefault="009B0268" w:rsidP="009B0268">
            <w:pPr>
              <w:rPr>
                <w:b w:val="0"/>
              </w:rPr>
            </w:pPr>
            <w:r w:rsidRPr="003F7358">
              <w:t>Administrative Fee</w:t>
            </w:r>
            <w:r w:rsidRPr="003F7358">
              <w:rPr>
                <w:b w:val="0"/>
              </w:rPr>
              <w:t>-This fee is applied if parties come to an out-of-court agreement and no longer require a Child Custody Evaluation or a Mediation session.  The fee applied is based on the amount of work completed before the agreement is reached.</w:t>
            </w:r>
          </w:p>
        </w:tc>
        <w:tc>
          <w:tcPr>
            <w:tcW w:w="1638" w:type="dxa"/>
            <w:shd w:val="clear" w:color="auto" w:fill="F2F2F2" w:themeFill="background1" w:themeFillShade="F2"/>
          </w:tcPr>
          <w:p w:rsidR="00F3409D" w:rsidRPr="003F7358" w:rsidRDefault="00C71207" w:rsidP="009B0268">
            <w:pPr>
              <w:jc w:val="right"/>
              <w:cnfStyle w:val="000000100000" w:firstRow="0" w:lastRow="0" w:firstColumn="0" w:lastColumn="0" w:oddVBand="0" w:evenVBand="0" w:oddHBand="1" w:evenHBand="0" w:firstRowFirstColumn="0" w:firstRowLastColumn="0" w:lastRowFirstColumn="0" w:lastRowLastColumn="0"/>
            </w:pPr>
            <w:r>
              <w:t>$80</w:t>
            </w:r>
            <w:r w:rsidR="009B0268" w:rsidRPr="003F7358">
              <w:t xml:space="preserve"> or $160</w:t>
            </w:r>
          </w:p>
        </w:tc>
      </w:tr>
      <w:tr w:rsidR="00F3409D"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F3409D" w:rsidRPr="003F7358" w:rsidRDefault="00C750B4" w:rsidP="009B0268">
            <w:pPr>
              <w:rPr>
                <w:b w:val="0"/>
              </w:rPr>
            </w:pPr>
            <w:r>
              <w:t>Adoption Evaluation</w:t>
            </w:r>
            <w:r w:rsidR="009B0268" w:rsidRPr="003F7358">
              <w:rPr>
                <w:b w:val="0"/>
              </w:rPr>
              <w:t xml:space="preserve">-A social worker is assigned as an impartial third party to conduct interviews, home visits, and observations of adoptive applicants.  A pre-adoptive and a post-post-placement social study report are filed with the court. </w:t>
            </w:r>
          </w:p>
        </w:tc>
        <w:tc>
          <w:tcPr>
            <w:tcW w:w="1638" w:type="dxa"/>
          </w:tcPr>
          <w:p w:rsidR="00F3409D" w:rsidRPr="003F7358" w:rsidRDefault="009B0268" w:rsidP="00856778">
            <w:pPr>
              <w:jc w:val="right"/>
              <w:cnfStyle w:val="000000010000" w:firstRow="0" w:lastRow="0" w:firstColumn="0" w:lastColumn="0" w:oddVBand="0" w:evenVBand="0" w:oddHBand="0" w:evenHBand="1" w:firstRowFirstColumn="0" w:firstRowLastColumn="0" w:lastRowFirstColumn="0" w:lastRowLastColumn="0"/>
            </w:pPr>
            <w:r>
              <w:t>$590</w:t>
            </w:r>
          </w:p>
        </w:tc>
      </w:tr>
      <w:tr w:rsidR="00F3409D"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F3409D" w:rsidRPr="003F7358" w:rsidRDefault="00F3409D" w:rsidP="00F3409D">
            <w:pPr>
              <w:rPr>
                <w:b w:val="0"/>
              </w:rPr>
            </w:pPr>
            <w:r w:rsidRPr="009B0268">
              <w:t>Application for Child Support Calculation</w:t>
            </w:r>
            <w:r w:rsidRPr="003F7358">
              <w:rPr>
                <w:b w:val="0"/>
              </w:rPr>
              <w:t xml:space="preserve"> – Use this application if either party wants to know what the amount of monthly child support obligation would be if an order were issued or to determine if a child support modification is appropriate. </w:t>
            </w:r>
          </w:p>
        </w:tc>
        <w:tc>
          <w:tcPr>
            <w:tcW w:w="1638" w:type="dxa"/>
            <w:shd w:val="clear" w:color="auto" w:fill="F2F2F2" w:themeFill="background1" w:themeFillShade="F2"/>
          </w:tcPr>
          <w:p w:rsidR="00F3409D" w:rsidRPr="003F7358" w:rsidRDefault="00F3409D" w:rsidP="00856778">
            <w:pPr>
              <w:jc w:val="right"/>
              <w:cnfStyle w:val="000000100000" w:firstRow="0" w:lastRow="0" w:firstColumn="0" w:lastColumn="0" w:oddVBand="0" w:evenVBand="0" w:oddHBand="1" w:evenHBand="0" w:firstRowFirstColumn="0" w:firstRowLastColumn="0" w:lastRowFirstColumn="0" w:lastRowLastColumn="0"/>
            </w:pPr>
            <w:r w:rsidRPr="003F7358">
              <w:t>$0</w:t>
            </w:r>
          </w:p>
        </w:tc>
      </w:tr>
      <w:tr w:rsidR="00F3409D"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F3409D" w:rsidRPr="003F7358" w:rsidRDefault="002167D5" w:rsidP="00F3409D">
            <w:pPr>
              <w:tabs>
                <w:tab w:val="left" w:pos="1139"/>
              </w:tabs>
              <w:rPr>
                <w:b w:val="0"/>
              </w:rPr>
            </w:pPr>
            <w:r>
              <w:t>Arrears Report</w:t>
            </w:r>
            <w:r w:rsidR="00F3409D" w:rsidRPr="003F7358">
              <w:rPr>
                <w:b w:val="0"/>
              </w:rPr>
              <w:t xml:space="preserve"> – Use this application to request a current Child Support and Medical Support balance</w:t>
            </w:r>
          </w:p>
        </w:tc>
        <w:tc>
          <w:tcPr>
            <w:tcW w:w="1638" w:type="dxa"/>
          </w:tcPr>
          <w:p w:rsidR="00F3409D" w:rsidRPr="003F7358" w:rsidRDefault="00F3409D" w:rsidP="00856778">
            <w:pPr>
              <w:jc w:val="right"/>
              <w:cnfStyle w:val="000000010000" w:firstRow="0" w:lastRow="0" w:firstColumn="0" w:lastColumn="0" w:oddVBand="0" w:evenVBand="0" w:oddHBand="0" w:evenHBand="1" w:firstRowFirstColumn="0" w:firstRowLastColumn="0" w:lastRowFirstColumn="0" w:lastRowLastColumn="0"/>
            </w:pPr>
            <w:r w:rsidRPr="003F7358">
              <w:t>$0</w:t>
            </w:r>
          </w:p>
        </w:tc>
      </w:tr>
      <w:tr w:rsidR="00F3409D"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F3409D" w:rsidRPr="003F7358" w:rsidRDefault="00F3409D" w:rsidP="00F3409D">
            <w:pPr>
              <w:rPr>
                <w:b w:val="0"/>
              </w:rPr>
            </w:pPr>
            <w:r w:rsidRPr="003F7358">
              <w:t>Application to Enforce Access &amp; Possession Rights</w:t>
            </w:r>
            <w:r w:rsidRPr="003F7358">
              <w:rPr>
                <w:b w:val="0"/>
              </w:rPr>
              <w:t xml:space="preserve"> – Use this application form when the Non-Custodial Parent wants to enforce their rights as ordered by the Court.</w:t>
            </w:r>
          </w:p>
        </w:tc>
        <w:tc>
          <w:tcPr>
            <w:tcW w:w="1638" w:type="dxa"/>
            <w:shd w:val="clear" w:color="auto" w:fill="F2F2F2" w:themeFill="background1" w:themeFillShade="F2"/>
          </w:tcPr>
          <w:p w:rsidR="00F3409D" w:rsidRPr="003F7358" w:rsidRDefault="00F3409D" w:rsidP="00856778">
            <w:pPr>
              <w:jc w:val="right"/>
              <w:cnfStyle w:val="000000100000" w:firstRow="0" w:lastRow="0" w:firstColumn="0" w:lastColumn="0" w:oddVBand="0" w:evenVBand="0" w:oddHBand="1" w:evenHBand="0" w:firstRowFirstColumn="0" w:firstRowLastColumn="0" w:lastRowFirstColumn="0" w:lastRowLastColumn="0"/>
            </w:pPr>
            <w:r w:rsidRPr="003F7358">
              <w:t>$0</w:t>
            </w:r>
          </w:p>
        </w:tc>
      </w:tr>
      <w:tr w:rsidR="003F7358"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3F7358" w:rsidRPr="00EA68AA" w:rsidRDefault="003F7358" w:rsidP="00F3409D">
            <w:pPr>
              <w:rPr>
                <w:sz w:val="22"/>
                <w:szCs w:val="24"/>
              </w:rPr>
            </w:pPr>
            <w:r w:rsidRPr="003F7358">
              <w:rPr>
                <w:sz w:val="22"/>
                <w:szCs w:val="24"/>
              </w:rPr>
              <w:t xml:space="preserve">Application to Enforce Child Support – </w:t>
            </w:r>
            <w:r w:rsidRPr="003F7358">
              <w:rPr>
                <w:b w:val="0"/>
                <w:sz w:val="22"/>
                <w:szCs w:val="24"/>
              </w:rPr>
              <w:t>Use this application form to enforc</w:t>
            </w:r>
            <w:r w:rsidR="00C04818">
              <w:rPr>
                <w:b w:val="0"/>
                <w:sz w:val="22"/>
                <w:szCs w:val="24"/>
              </w:rPr>
              <w:t xml:space="preserve">e a court order for </w:t>
            </w:r>
            <w:r w:rsidRPr="003F7358">
              <w:rPr>
                <w:b w:val="0"/>
                <w:sz w:val="22"/>
                <w:szCs w:val="24"/>
              </w:rPr>
              <w:t>child sup</w:t>
            </w:r>
            <w:r w:rsidR="00C04818">
              <w:rPr>
                <w:b w:val="0"/>
                <w:sz w:val="22"/>
                <w:szCs w:val="24"/>
              </w:rPr>
              <w:t>port, medical support</w:t>
            </w:r>
            <w:r w:rsidRPr="003F7358">
              <w:rPr>
                <w:b w:val="0"/>
                <w:sz w:val="22"/>
                <w:szCs w:val="24"/>
              </w:rPr>
              <w:t>, health insurance, and out of pocket health care costs for child(ren).</w:t>
            </w:r>
          </w:p>
        </w:tc>
        <w:tc>
          <w:tcPr>
            <w:tcW w:w="1638" w:type="dxa"/>
          </w:tcPr>
          <w:p w:rsidR="003F7358" w:rsidRPr="003F7358" w:rsidRDefault="003F7358" w:rsidP="00856778">
            <w:pPr>
              <w:jc w:val="right"/>
              <w:cnfStyle w:val="000000010000" w:firstRow="0" w:lastRow="0" w:firstColumn="0" w:lastColumn="0" w:oddVBand="0" w:evenVBand="0" w:oddHBand="0" w:evenHBand="1" w:firstRowFirstColumn="0" w:firstRowLastColumn="0" w:lastRowFirstColumn="0" w:lastRowLastColumn="0"/>
            </w:pPr>
            <w:r w:rsidRPr="003F7358">
              <w:t>$0</w:t>
            </w:r>
          </w:p>
        </w:tc>
      </w:tr>
      <w:tr w:rsidR="00F3409D"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F3409D" w:rsidRPr="003F7358" w:rsidRDefault="00F3409D">
            <w:pPr>
              <w:rPr>
                <w:b w:val="0"/>
              </w:rPr>
            </w:pPr>
            <w:r w:rsidRPr="003F7358">
              <w:t>Application to Enforce Uninsured Medical Expenses</w:t>
            </w:r>
            <w:r w:rsidRPr="003F7358">
              <w:rPr>
                <w:b w:val="0"/>
              </w:rPr>
              <w:t xml:space="preserve"> – Use this application form if either party wants to </w:t>
            </w:r>
            <w:r w:rsidR="00C04818">
              <w:rPr>
                <w:b w:val="0"/>
              </w:rPr>
              <w:t xml:space="preserve">only enforce </w:t>
            </w:r>
            <w:r w:rsidRPr="003F7358">
              <w:rPr>
                <w:b w:val="0"/>
              </w:rPr>
              <w:t>out of pocket medical expenses that</w:t>
            </w:r>
            <w:r w:rsidR="00C04818">
              <w:rPr>
                <w:b w:val="0"/>
              </w:rPr>
              <w:t xml:space="preserve"> have already been paid</w:t>
            </w:r>
            <w:r w:rsidRPr="003F7358">
              <w:rPr>
                <w:b w:val="0"/>
              </w:rPr>
              <w:t xml:space="preserve">. </w:t>
            </w:r>
          </w:p>
        </w:tc>
        <w:tc>
          <w:tcPr>
            <w:tcW w:w="1638" w:type="dxa"/>
            <w:shd w:val="clear" w:color="auto" w:fill="F2F2F2" w:themeFill="background1" w:themeFillShade="F2"/>
          </w:tcPr>
          <w:p w:rsidR="00F3409D" w:rsidRPr="003F7358" w:rsidRDefault="00F3409D" w:rsidP="00856778">
            <w:pPr>
              <w:jc w:val="right"/>
              <w:cnfStyle w:val="000000100000" w:firstRow="0" w:lastRow="0" w:firstColumn="0" w:lastColumn="0" w:oddVBand="0" w:evenVBand="0" w:oddHBand="1" w:evenHBand="0" w:firstRowFirstColumn="0" w:firstRowLastColumn="0" w:lastRowFirstColumn="0" w:lastRowLastColumn="0"/>
            </w:pPr>
            <w:r w:rsidRPr="003F7358">
              <w:t>$0</w:t>
            </w:r>
          </w:p>
        </w:tc>
      </w:tr>
      <w:tr w:rsidR="00F3409D" w:rsidRPr="003F7358" w:rsidTr="005919FA">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938" w:type="dxa"/>
          </w:tcPr>
          <w:p w:rsidR="00F3409D" w:rsidRPr="003F7358" w:rsidRDefault="00F3409D" w:rsidP="00EA68AA">
            <w:pPr>
              <w:rPr>
                <w:b w:val="0"/>
              </w:rPr>
            </w:pPr>
            <w:r w:rsidRPr="003F7358">
              <w:t>Application to Enforce Order to Withhold from Earnings against</w:t>
            </w:r>
            <w:r w:rsidRPr="003F7358">
              <w:rPr>
                <w:b w:val="0"/>
              </w:rPr>
              <w:t xml:space="preserve"> </w:t>
            </w:r>
            <w:r w:rsidRPr="003F7358">
              <w:t>Employer</w:t>
            </w:r>
            <w:r w:rsidRPr="003F7358">
              <w:rPr>
                <w:b w:val="0"/>
              </w:rPr>
              <w:t xml:space="preserve"> – Use this application form if an Employer’s Order to Withhold was officially issued to the employer, but the employer is not complying.</w:t>
            </w:r>
          </w:p>
        </w:tc>
        <w:tc>
          <w:tcPr>
            <w:tcW w:w="1638" w:type="dxa"/>
          </w:tcPr>
          <w:p w:rsidR="00F3409D" w:rsidRPr="003F7358" w:rsidRDefault="00F3409D" w:rsidP="00856778">
            <w:pPr>
              <w:jc w:val="right"/>
              <w:cnfStyle w:val="000000010000" w:firstRow="0" w:lastRow="0" w:firstColumn="0" w:lastColumn="0" w:oddVBand="0" w:evenVBand="0" w:oddHBand="0" w:evenHBand="1" w:firstRowFirstColumn="0" w:firstRowLastColumn="0" w:lastRowFirstColumn="0" w:lastRowLastColumn="0"/>
            </w:pPr>
            <w:r w:rsidRPr="003F7358">
              <w:t>$30</w:t>
            </w:r>
          </w:p>
        </w:tc>
      </w:tr>
      <w:tr w:rsidR="00C37911" w:rsidRPr="003F7358" w:rsidTr="00EF195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C37911" w:rsidRDefault="00C37911" w:rsidP="00EA68AA">
            <w:r>
              <w:t>Application to Modify Child Support</w:t>
            </w:r>
            <w:r w:rsidR="00EF195C">
              <w:t xml:space="preserve"> - </w:t>
            </w:r>
            <w:r w:rsidR="00EF195C" w:rsidRPr="00EF195C">
              <w:rPr>
                <w:b w:val="0"/>
              </w:rPr>
              <w:t xml:space="preserve">The El Paso County Domestic Relations Office will modify court orders for child support through the “Friend of the Court” program.  </w:t>
            </w:r>
          </w:p>
          <w:p w:rsidR="00C37911" w:rsidRPr="003F7358" w:rsidRDefault="00C37911" w:rsidP="00C37911">
            <w:pPr>
              <w:tabs>
                <w:tab w:val="left" w:pos="4470"/>
              </w:tabs>
            </w:pPr>
            <w:r>
              <w:tab/>
            </w:r>
          </w:p>
        </w:tc>
        <w:tc>
          <w:tcPr>
            <w:tcW w:w="1638" w:type="dxa"/>
            <w:shd w:val="clear" w:color="auto" w:fill="FFFFFF" w:themeFill="background1"/>
          </w:tcPr>
          <w:p w:rsidR="00EF195C" w:rsidRDefault="00C37911" w:rsidP="00856778">
            <w:pPr>
              <w:jc w:val="right"/>
              <w:cnfStyle w:val="000000100000" w:firstRow="0" w:lastRow="0" w:firstColumn="0" w:lastColumn="0" w:oddVBand="0" w:evenVBand="0" w:oddHBand="1" w:evenHBand="0" w:firstRowFirstColumn="0" w:firstRowLastColumn="0" w:lastRowFirstColumn="0" w:lastRowLastColumn="0"/>
            </w:pPr>
            <w:r>
              <w:t>$0</w:t>
            </w:r>
          </w:p>
          <w:p w:rsidR="00C37911" w:rsidRPr="00EF195C" w:rsidRDefault="00C37911" w:rsidP="00EF195C">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C37911" w:rsidRPr="003F7358" w:rsidTr="005919FA">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938" w:type="dxa"/>
          </w:tcPr>
          <w:p w:rsidR="00C37911" w:rsidRDefault="00C37911" w:rsidP="00EF195C">
            <w:r>
              <w:t>Application</w:t>
            </w:r>
            <w:r w:rsidR="00EF195C">
              <w:t xml:space="preserve"> to Modify Access &amp; Possession - </w:t>
            </w:r>
            <w:r w:rsidR="00EF195C" w:rsidRPr="00EF195C">
              <w:rPr>
                <w:b w:val="0"/>
              </w:rPr>
              <w:t>The El Paso County Domestic Relations Office will modify court orders for access and possession through the “Friend of the Court” program.</w:t>
            </w:r>
            <w:r w:rsidR="00EF195C" w:rsidRPr="00EF195C">
              <w:t xml:space="preserve">  </w:t>
            </w:r>
          </w:p>
        </w:tc>
        <w:tc>
          <w:tcPr>
            <w:tcW w:w="1638" w:type="dxa"/>
          </w:tcPr>
          <w:p w:rsidR="00C37911" w:rsidRDefault="00C37911" w:rsidP="00856778">
            <w:pPr>
              <w:jc w:val="right"/>
              <w:cnfStyle w:val="000000010000" w:firstRow="0" w:lastRow="0" w:firstColumn="0" w:lastColumn="0" w:oddVBand="0" w:evenVBand="0" w:oddHBand="0" w:evenHBand="1" w:firstRowFirstColumn="0" w:firstRowLastColumn="0" w:lastRowFirstColumn="0" w:lastRowLastColumn="0"/>
            </w:pPr>
            <w:r>
              <w:t>$0</w:t>
            </w:r>
          </w:p>
        </w:tc>
      </w:tr>
      <w:tr w:rsidR="00A501AF" w:rsidRPr="003F7358" w:rsidTr="005919FA">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A501AF" w:rsidRPr="003F7358" w:rsidRDefault="00A501AF" w:rsidP="00F3409D">
            <w:pPr>
              <w:rPr>
                <w:b w:val="0"/>
              </w:rPr>
            </w:pPr>
            <w:r w:rsidRPr="003F7358">
              <w:t>Application for Preparation and Issuance of Administrative Writ of Withholding for Child Support/Arrearage</w:t>
            </w:r>
            <w:r w:rsidRPr="003F7358">
              <w:rPr>
                <w:b w:val="0"/>
              </w:rPr>
              <w:t xml:space="preserve"> – Use this application form if there is a final order and either party wants to garnish obligor’s wages from current employer.</w:t>
            </w:r>
            <w:r w:rsidR="003A246B">
              <w:rPr>
                <w:b w:val="0"/>
              </w:rPr>
              <w:t xml:space="preserve"> </w:t>
            </w:r>
          </w:p>
        </w:tc>
        <w:tc>
          <w:tcPr>
            <w:tcW w:w="1638" w:type="dxa"/>
            <w:shd w:val="clear" w:color="auto" w:fill="F2F2F2" w:themeFill="background1" w:themeFillShade="F2"/>
          </w:tcPr>
          <w:p w:rsidR="00A501AF" w:rsidRPr="003F7358" w:rsidRDefault="00A501AF" w:rsidP="00856778">
            <w:pPr>
              <w:jc w:val="right"/>
              <w:cnfStyle w:val="000000100000" w:firstRow="0" w:lastRow="0" w:firstColumn="0" w:lastColumn="0" w:oddVBand="0" w:evenVBand="0" w:oddHBand="1" w:evenHBand="0" w:firstRowFirstColumn="0" w:firstRowLastColumn="0" w:lastRowFirstColumn="0" w:lastRowLastColumn="0"/>
            </w:pPr>
            <w:r w:rsidRPr="003F7358">
              <w:t>$45</w:t>
            </w:r>
          </w:p>
        </w:tc>
      </w:tr>
      <w:tr w:rsidR="00F3409D" w:rsidRPr="003F7358" w:rsidTr="005919FA">
        <w:trPr>
          <w:cnfStyle w:val="000000010000" w:firstRow="0" w:lastRow="0" w:firstColumn="0" w:lastColumn="0" w:oddVBand="0" w:evenVBand="0" w:oddHBand="0" w:evenHBand="1"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7938" w:type="dxa"/>
          </w:tcPr>
          <w:p w:rsidR="00F3409D" w:rsidRPr="003F7358" w:rsidRDefault="00F3409D" w:rsidP="00F3409D">
            <w:pPr>
              <w:rPr>
                <w:b w:val="0"/>
              </w:rPr>
            </w:pPr>
            <w:r w:rsidRPr="003F7358">
              <w:t xml:space="preserve">Application to Terminate or Reduce Withholding from Earnings for Child Support </w:t>
            </w:r>
            <w:r w:rsidRPr="003F7358">
              <w:rPr>
                <w:b w:val="0"/>
              </w:rPr>
              <w:t>– Use this application form if the garnishment of child support should be stopped or the amount garnished reduced because one or more conditions for termination/reduction of support included in the child support order have been met.</w:t>
            </w:r>
          </w:p>
        </w:tc>
        <w:tc>
          <w:tcPr>
            <w:tcW w:w="1638" w:type="dxa"/>
          </w:tcPr>
          <w:p w:rsidR="00F3409D" w:rsidRPr="003F7358" w:rsidRDefault="00A501AF" w:rsidP="00856778">
            <w:pPr>
              <w:jc w:val="right"/>
              <w:cnfStyle w:val="000000010000" w:firstRow="0" w:lastRow="0" w:firstColumn="0" w:lastColumn="0" w:oddVBand="0" w:evenVBand="0" w:oddHBand="0" w:evenHBand="1" w:firstRowFirstColumn="0" w:firstRowLastColumn="0" w:lastRowFirstColumn="0" w:lastRowLastColumn="0"/>
            </w:pPr>
            <w:r w:rsidRPr="003F7358">
              <w:t>$45</w:t>
            </w:r>
          </w:p>
        </w:tc>
      </w:tr>
      <w:tr w:rsidR="009B0268" w:rsidRPr="003F7358" w:rsidTr="005919FA">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9B0268" w:rsidRPr="003F7358" w:rsidRDefault="009B0268" w:rsidP="00F3409D">
            <w:r w:rsidRPr="003F7358">
              <w:t>Amicus Attorney</w:t>
            </w:r>
            <w:r w:rsidRPr="003F7358">
              <w:rPr>
                <w:b w:val="0"/>
              </w:rPr>
              <w:t>-An attorney is appointed by the court whose role is to provide legal services necessary to assist the court in protecting a child’s best interests rather than to provide legal services to the child</w:t>
            </w:r>
            <w:r w:rsidR="00EA5708">
              <w:rPr>
                <w:b w:val="0"/>
              </w:rPr>
              <w:t>.</w:t>
            </w:r>
          </w:p>
        </w:tc>
        <w:tc>
          <w:tcPr>
            <w:tcW w:w="1638" w:type="dxa"/>
            <w:shd w:val="clear" w:color="auto" w:fill="F2F2F2" w:themeFill="background1" w:themeFillShade="F2"/>
          </w:tcPr>
          <w:p w:rsidR="009B0268" w:rsidRPr="003F7358" w:rsidRDefault="009B0268" w:rsidP="00856778">
            <w:pPr>
              <w:jc w:val="right"/>
              <w:cnfStyle w:val="000000100000" w:firstRow="0" w:lastRow="0" w:firstColumn="0" w:lastColumn="0" w:oddVBand="0" w:evenVBand="0" w:oddHBand="1" w:evenHBand="0" w:firstRowFirstColumn="0" w:firstRowLastColumn="0" w:lastRowFirstColumn="0" w:lastRowLastColumn="0"/>
            </w:pPr>
            <w:r>
              <w:t>$1,000</w:t>
            </w:r>
          </w:p>
        </w:tc>
      </w:tr>
      <w:tr w:rsidR="00F3409D" w:rsidRPr="003F7358" w:rsidTr="005919FA">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938" w:type="dxa"/>
          </w:tcPr>
          <w:p w:rsidR="00F3409D" w:rsidRPr="003F7358" w:rsidRDefault="00F3409D" w:rsidP="006B5D7F">
            <w:pPr>
              <w:rPr>
                <w:b w:val="0"/>
              </w:rPr>
            </w:pPr>
            <w:r w:rsidRPr="003F7358">
              <w:t xml:space="preserve">Attorney </w:t>
            </w:r>
            <w:r w:rsidR="00C30F69" w:rsidRPr="003F7358">
              <w:t>Fees</w:t>
            </w:r>
            <w:r w:rsidR="00C30F69" w:rsidRPr="003F7358">
              <w:rPr>
                <w:b w:val="0"/>
              </w:rPr>
              <w:t xml:space="preserve"> -</w:t>
            </w:r>
            <w:r w:rsidR="00C8617B" w:rsidRPr="003F7358">
              <w:rPr>
                <w:b w:val="0"/>
              </w:rPr>
              <w:t xml:space="preserve"> Fees vary </w:t>
            </w:r>
            <w:r w:rsidRPr="003F7358">
              <w:rPr>
                <w:b w:val="0"/>
              </w:rPr>
              <w:t xml:space="preserve">depending on </w:t>
            </w:r>
            <w:r w:rsidR="006B5D7F" w:rsidRPr="003F7358">
              <w:rPr>
                <w:b w:val="0"/>
              </w:rPr>
              <w:t>the amount of time spent on activity.</w:t>
            </w:r>
          </w:p>
        </w:tc>
        <w:tc>
          <w:tcPr>
            <w:tcW w:w="1638" w:type="dxa"/>
          </w:tcPr>
          <w:p w:rsidR="00F3409D" w:rsidRPr="003F7358" w:rsidRDefault="00C8617B" w:rsidP="00C8617B">
            <w:pPr>
              <w:jc w:val="right"/>
              <w:cnfStyle w:val="000000010000" w:firstRow="0" w:lastRow="0" w:firstColumn="0" w:lastColumn="0" w:oddVBand="0" w:evenVBand="0" w:oddHBand="0" w:evenHBand="1" w:firstRowFirstColumn="0" w:firstRowLastColumn="0" w:lastRowFirstColumn="0" w:lastRowLastColumn="0"/>
            </w:pPr>
            <w:r w:rsidRPr="003F7358">
              <w:t>Billed at $150 per hour</w:t>
            </w:r>
          </w:p>
        </w:tc>
      </w:tr>
      <w:tr w:rsidR="00F3409D"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F3409D" w:rsidRPr="003F7358" w:rsidRDefault="00A501AF">
            <w:pPr>
              <w:rPr>
                <w:b w:val="0"/>
              </w:rPr>
            </w:pPr>
            <w:r w:rsidRPr="003F7358">
              <w:lastRenderedPageBreak/>
              <w:t>Child Custody Evaluation, Update to a Child Custody Evaluation, or a Relocation Evaluation</w:t>
            </w:r>
            <w:r w:rsidR="00CF1A9E" w:rsidRPr="003F7358">
              <w:rPr>
                <w:b w:val="0"/>
              </w:rPr>
              <w:t xml:space="preserve"> </w:t>
            </w:r>
            <w:r w:rsidRPr="003F7358">
              <w:rPr>
                <w:b w:val="0"/>
              </w:rPr>
              <w:t>-</w:t>
            </w:r>
            <w:r w:rsidR="00CF1A9E" w:rsidRPr="003F7358">
              <w:rPr>
                <w:b w:val="0"/>
              </w:rPr>
              <w:t xml:space="preserve"> </w:t>
            </w:r>
            <w:r w:rsidRPr="003F7358">
              <w:rPr>
                <w:b w:val="0"/>
              </w:rPr>
              <w:t>A social worker is assigned as an impartial third party to conduct interviews, home visits and observations of both parties, collect pertinent collateral information and provide a report to the court that includes a recommendation for custody and access and possession as well as recommendations for other community services when necessary.</w:t>
            </w:r>
          </w:p>
        </w:tc>
        <w:tc>
          <w:tcPr>
            <w:tcW w:w="1638" w:type="dxa"/>
            <w:shd w:val="clear" w:color="auto" w:fill="F2F2F2" w:themeFill="background1" w:themeFillShade="F2"/>
          </w:tcPr>
          <w:p w:rsidR="00F3409D" w:rsidRPr="003F7358" w:rsidRDefault="00A501AF" w:rsidP="00856778">
            <w:pPr>
              <w:jc w:val="right"/>
              <w:cnfStyle w:val="000000100000" w:firstRow="0" w:lastRow="0" w:firstColumn="0" w:lastColumn="0" w:oddVBand="0" w:evenVBand="0" w:oddHBand="1" w:evenHBand="0" w:firstRowFirstColumn="0" w:firstRowLastColumn="0" w:lastRowFirstColumn="0" w:lastRowLastColumn="0"/>
            </w:pPr>
            <w:r w:rsidRPr="003F7358">
              <w:t>$1</w:t>
            </w:r>
            <w:r w:rsidR="00F16928">
              <w:t>,</w:t>
            </w:r>
            <w:r w:rsidRPr="003F7358">
              <w:t>500</w:t>
            </w:r>
          </w:p>
        </w:tc>
      </w:tr>
      <w:tr w:rsidR="00F3409D"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F3409D" w:rsidRPr="003F7358" w:rsidRDefault="00A501AF" w:rsidP="00A501AF">
            <w:pPr>
              <w:tabs>
                <w:tab w:val="left" w:pos="938"/>
              </w:tabs>
              <w:rPr>
                <w:b w:val="0"/>
              </w:rPr>
            </w:pPr>
            <w:r w:rsidRPr="003F7358">
              <w:t>Child Custody Evaluation (3 Party)</w:t>
            </w:r>
            <w:r w:rsidR="00CF1A9E" w:rsidRPr="003F7358">
              <w:rPr>
                <w:b w:val="0"/>
              </w:rPr>
              <w:t xml:space="preserve"> </w:t>
            </w:r>
            <w:r w:rsidRPr="003F7358">
              <w:rPr>
                <w:b w:val="0"/>
              </w:rPr>
              <w:t>-The same process for the Child Custody Evaluation is followed with the exception that three parties are involved in the suit.</w:t>
            </w:r>
          </w:p>
        </w:tc>
        <w:tc>
          <w:tcPr>
            <w:tcW w:w="1638" w:type="dxa"/>
          </w:tcPr>
          <w:p w:rsidR="00F3409D" w:rsidRPr="003F7358" w:rsidRDefault="00A501AF" w:rsidP="00856778">
            <w:pPr>
              <w:jc w:val="right"/>
              <w:cnfStyle w:val="000000010000" w:firstRow="0" w:lastRow="0" w:firstColumn="0" w:lastColumn="0" w:oddVBand="0" w:evenVBand="0" w:oddHBand="0" w:evenHBand="1" w:firstRowFirstColumn="0" w:firstRowLastColumn="0" w:lastRowFirstColumn="0" w:lastRowLastColumn="0"/>
            </w:pPr>
            <w:r w:rsidRPr="003F7358">
              <w:t>$2</w:t>
            </w:r>
            <w:r w:rsidR="00F16928">
              <w:t>,</w:t>
            </w:r>
            <w:r w:rsidR="00C71207">
              <w:t>250</w:t>
            </w:r>
          </w:p>
        </w:tc>
      </w:tr>
      <w:tr w:rsidR="00F3409D"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F3409D" w:rsidRPr="003F7358" w:rsidRDefault="00A501AF">
            <w:pPr>
              <w:rPr>
                <w:b w:val="0"/>
              </w:rPr>
            </w:pPr>
            <w:r w:rsidRPr="003F7358">
              <w:t>Child Custody Evaluation/Access Facilitation</w:t>
            </w:r>
            <w:r w:rsidRPr="003F7358">
              <w:rPr>
                <w:b w:val="0"/>
              </w:rPr>
              <w:t xml:space="preserve"> –This court order is for two services.  Two different social workers will be assigned; one for the Contested Custody Evaluation and one for the Access Facilitation in order to avoid dual roles and conflict of interests.</w:t>
            </w:r>
          </w:p>
        </w:tc>
        <w:tc>
          <w:tcPr>
            <w:tcW w:w="1638" w:type="dxa"/>
            <w:shd w:val="clear" w:color="auto" w:fill="F2F2F2" w:themeFill="background1" w:themeFillShade="F2"/>
          </w:tcPr>
          <w:p w:rsidR="00F3409D" w:rsidRPr="003F7358" w:rsidRDefault="00A501AF" w:rsidP="00856778">
            <w:pPr>
              <w:jc w:val="right"/>
              <w:cnfStyle w:val="000000100000" w:firstRow="0" w:lastRow="0" w:firstColumn="0" w:lastColumn="0" w:oddVBand="0" w:evenVBand="0" w:oddHBand="1" w:evenHBand="0" w:firstRowFirstColumn="0" w:firstRowLastColumn="0" w:lastRowFirstColumn="0" w:lastRowLastColumn="0"/>
            </w:pPr>
            <w:r w:rsidRPr="003F7358">
              <w:t>$1,500</w:t>
            </w:r>
          </w:p>
        </w:tc>
      </w:tr>
      <w:tr w:rsidR="00A501AF"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A501AF" w:rsidRPr="003F7358" w:rsidRDefault="00A501AF">
            <w:pPr>
              <w:rPr>
                <w:b w:val="0"/>
              </w:rPr>
            </w:pPr>
            <w:r w:rsidRPr="003F7358">
              <w:t>Child Support Service Fee</w:t>
            </w:r>
            <w:r w:rsidR="00CF1A9E" w:rsidRPr="003F7358">
              <w:rPr>
                <w:b w:val="0"/>
              </w:rPr>
              <w:t xml:space="preserve"> </w:t>
            </w:r>
            <w:r w:rsidRPr="003F7358">
              <w:rPr>
                <w:b w:val="0"/>
              </w:rPr>
              <w:t>-</w:t>
            </w:r>
            <w:r w:rsidR="00CF1A9E" w:rsidRPr="003F7358">
              <w:rPr>
                <w:b w:val="0"/>
              </w:rPr>
              <w:t xml:space="preserve"> </w:t>
            </w:r>
            <w:r w:rsidRPr="003F7358">
              <w:rPr>
                <w:b w:val="0"/>
              </w:rPr>
              <w:t>The Texas Family Code 203.005(a)(5) provides for a monthly $3 fee to be paid annually in advance by both the managing and possessory conservators.</w:t>
            </w:r>
            <w:r w:rsidRPr="003F7358">
              <w:rPr>
                <w:b w:val="0"/>
              </w:rPr>
              <w:tab/>
            </w:r>
          </w:p>
        </w:tc>
        <w:tc>
          <w:tcPr>
            <w:tcW w:w="1638" w:type="dxa"/>
          </w:tcPr>
          <w:p w:rsidR="00A501AF" w:rsidRPr="003F7358" w:rsidRDefault="00654B84" w:rsidP="00856778">
            <w:pPr>
              <w:jc w:val="right"/>
              <w:cnfStyle w:val="000000010000" w:firstRow="0" w:lastRow="0" w:firstColumn="0" w:lastColumn="0" w:oddVBand="0" w:evenVBand="0" w:oddHBand="0" w:evenHBand="1" w:firstRowFirstColumn="0" w:firstRowLastColumn="0" w:lastRowFirstColumn="0" w:lastRowLastColumn="0"/>
            </w:pPr>
            <w:r>
              <w:t>$36</w:t>
            </w:r>
            <w:r w:rsidR="00A501AF" w:rsidRPr="003F7358">
              <w:t xml:space="preserve"> annually</w:t>
            </w:r>
          </w:p>
        </w:tc>
      </w:tr>
      <w:tr w:rsidR="00A501AF"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A501AF" w:rsidRPr="003F7358" w:rsidRDefault="00A501AF">
            <w:pPr>
              <w:rPr>
                <w:b w:val="0"/>
              </w:rPr>
            </w:pPr>
            <w:r w:rsidRPr="003F7358">
              <w:t>Consultation</w:t>
            </w:r>
            <w:r w:rsidR="00CF1A9E" w:rsidRPr="003F7358">
              <w:rPr>
                <w:b w:val="0"/>
              </w:rPr>
              <w:t xml:space="preserve"> </w:t>
            </w:r>
            <w:r w:rsidRPr="003F7358">
              <w:rPr>
                <w:b w:val="0"/>
              </w:rPr>
              <w:t>-</w:t>
            </w:r>
            <w:r w:rsidR="00CF1A9E" w:rsidRPr="003F7358">
              <w:rPr>
                <w:b w:val="0"/>
              </w:rPr>
              <w:t xml:space="preserve"> </w:t>
            </w:r>
            <w:r w:rsidRPr="003F7358">
              <w:rPr>
                <w:b w:val="0"/>
              </w:rPr>
              <w:t>A social worker is assigned to provide services as requested by the court such as an interview of child/children and/ or observation of child/children with parent.  A report is filed with the court when requested.</w:t>
            </w:r>
          </w:p>
        </w:tc>
        <w:tc>
          <w:tcPr>
            <w:tcW w:w="1638" w:type="dxa"/>
            <w:shd w:val="clear" w:color="auto" w:fill="F2F2F2" w:themeFill="background1" w:themeFillShade="F2"/>
          </w:tcPr>
          <w:p w:rsidR="00A501AF" w:rsidRPr="003F7358" w:rsidRDefault="00A501AF" w:rsidP="00856778">
            <w:pPr>
              <w:jc w:val="right"/>
              <w:cnfStyle w:val="000000100000" w:firstRow="0" w:lastRow="0" w:firstColumn="0" w:lastColumn="0" w:oddVBand="0" w:evenVBand="0" w:oddHBand="1" w:evenHBand="0" w:firstRowFirstColumn="0" w:firstRowLastColumn="0" w:lastRowFirstColumn="0" w:lastRowLastColumn="0"/>
            </w:pPr>
            <w:r w:rsidRPr="003F7358">
              <w:t>$170</w:t>
            </w:r>
          </w:p>
        </w:tc>
      </w:tr>
      <w:tr w:rsidR="003F7358"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3F7358" w:rsidRPr="003F7358" w:rsidRDefault="003F7358">
            <w:r w:rsidRPr="003E1A60">
              <w:rPr>
                <w:sz w:val="22"/>
                <w:szCs w:val="24"/>
              </w:rPr>
              <w:t>Guardian Ad Litem</w:t>
            </w:r>
            <w:r w:rsidR="003E1A60">
              <w:rPr>
                <w:sz w:val="22"/>
                <w:szCs w:val="24"/>
              </w:rPr>
              <w:t xml:space="preserve"> </w:t>
            </w:r>
            <w:r w:rsidRPr="003E1A60">
              <w:rPr>
                <w:sz w:val="22"/>
                <w:szCs w:val="24"/>
              </w:rPr>
              <w:t>-</w:t>
            </w:r>
            <w:r w:rsidR="003E1A60">
              <w:rPr>
                <w:sz w:val="22"/>
                <w:szCs w:val="24"/>
              </w:rPr>
              <w:t xml:space="preserve"> </w:t>
            </w:r>
            <w:r w:rsidRPr="003E1A60">
              <w:rPr>
                <w:b w:val="0"/>
                <w:sz w:val="22"/>
                <w:szCs w:val="24"/>
              </w:rPr>
              <w:t>A social worker is appointed to represent the best interests of a child.</w:t>
            </w:r>
            <w:r w:rsidRPr="003E1A60">
              <w:rPr>
                <w:sz w:val="22"/>
                <w:szCs w:val="24"/>
              </w:rPr>
              <w:t xml:space="preserve">  </w:t>
            </w:r>
          </w:p>
        </w:tc>
        <w:tc>
          <w:tcPr>
            <w:tcW w:w="1638" w:type="dxa"/>
          </w:tcPr>
          <w:p w:rsidR="003F7358" w:rsidRPr="003F7358" w:rsidRDefault="004230A6" w:rsidP="00856778">
            <w:pPr>
              <w:jc w:val="right"/>
              <w:cnfStyle w:val="000000010000" w:firstRow="0" w:lastRow="0" w:firstColumn="0" w:lastColumn="0" w:oddVBand="0" w:evenVBand="0" w:oddHBand="0" w:evenHBand="1" w:firstRowFirstColumn="0" w:firstRowLastColumn="0" w:lastRowFirstColumn="0" w:lastRowLastColumn="0"/>
            </w:pPr>
            <w:r>
              <w:t>$1</w:t>
            </w:r>
            <w:r w:rsidR="00555A63">
              <w:t>,</w:t>
            </w:r>
            <w:r>
              <w:t>50</w:t>
            </w:r>
            <w:r w:rsidR="00555A63">
              <w:t>0</w:t>
            </w:r>
          </w:p>
        </w:tc>
      </w:tr>
      <w:tr w:rsidR="00A501AF"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A501AF" w:rsidRPr="003F7358" w:rsidRDefault="00A501AF">
            <w:pPr>
              <w:rPr>
                <w:b w:val="0"/>
              </w:rPr>
            </w:pPr>
            <w:r w:rsidRPr="003F7358">
              <w:t>Limited Investigation</w:t>
            </w:r>
            <w:r w:rsidR="00CF1A9E" w:rsidRPr="003F7358">
              <w:rPr>
                <w:b w:val="0"/>
              </w:rPr>
              <w:t xml:space="preserve"> </w:t>
            </w:r>
            <w:r w:rsidRPr="003F7358">
              <w:rPr>
                <w:b w:val="0"/>
              </w:rPr>
              <w:t>-</w:t>
            </w:r>
            <w:r w:rsidR="00CF1A9E" w:rsidRPr="003F7358">
              <w:rPr>
                <w:b w:val="0"/>
              </w:rPr>
              <w:t xml:space="preserve"> </w:t>
            </w:r>
            <w:r w:rsidRPr="003F7358">
              <w:rPr>
                <w:b w:val="0"/>
              </w:rPr>
              <w:t>The court orders an abbreviated investigation that requires that the social worker obtain specified collateral information.  The investigation may include an interview and/or observation.  A report is filed with the court.</w:t>
            </w:r>
          </w:p>
        </w:tc>
        <w:tc>
          <w:tcPr>
            <w:tcW w:w="1638" w:type="dxa"/>
            <w:shd w:val="clear" w:color="auto" w:fill="F2F2F2" w:themeFill="background1" w:themeFillShade="F2"/>
          </w:tcPr>
          <w:p w:rsidR="00A501AF" w:rsidRPr="003F7358" w:rsidRDefault="00A501AF" w:rsidP="00856778">
            <w:pPr>
              <w:jc w:val="right"/>
              <w:cnfStyle w:val="000000100000" w:firstRow="0" w:lastRow="0" w:firstColumn="0" w:lastColumn="0" w:oddVBand="0" w:evenVBand="0" w:oddHBand="1" w:evenHBand="0" w:firstRowFirstColumn="0" w:firstRowLastColumn="0" w:lastRowFirstColumn="0" w:lastRowLastColumn="0"/>
            </w:pPr>
            <w:r w:rsidRPr="003F7358">
              <w:t>$170</w:t>
            </w:r>
          </w:p>
        </w:tc>
      </w:tr>
      <w:tr w:rsidR="00A501AF"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A501AF" w:rsidRPr="003F7358" w:rsidRDefault="00A501AF" w:rsidP="00A501AF">
            <w:pPr>
              <w:tabs>
                <w:tab w:val="left" w:pos="3215"/>
              </w:tabs>
              <w:rPr>
                <w:b w:val="0"/>
              </w:rPr>
            </w:pPr>
            <w:r w:rsidRPr="003F7358">
              <w:t>Mediation</w:t>
            </w:r>
            <w:r w:rsidRPr="003F7358">
              <w:rPr>
                <w:b w:val="0"/>
              </w:rPr>
              <w:t xml:space="preserve"> –For families going through Divorce or a Suit Establishing the Parent Child Relationship (SAPCR), an Attorney or Social Worker will assist the parents in reaching a Mediated Settlement Agreement.</w:t>
            </w:r>
            <w:r w:rsidR="00972B0D" w:rsidRPr="003F7358">
              <w:rPr>
                <w:b w:val="0"/>
              </w:rPr>
              <w:t xml:space="preserve"> </w:t>
            </w:r>
            <w:r w:rsidRPr="003F7358">
              <w:rPr>
                <w:b w:val="0"/>
              </w:rPr>
              <w:t>This can be either by order of the court or through application.  The fee can be split by the two parties.</w:t>
            </w:r>
            <w:r w:rsidR="00972B0D" w:rsidRPr="003F7358">
              <w:rPr>
                <w:b w:val="0"/>
              </w:rPr>
              <w:t xml:space="preserve"> </w:t>
            </w:r>
          </w:p>
        </w:tc>
        <w:tc>
          <w:tcPr>
            <w:tcW w:w="1638" w:type="dxa"/>
          </w:tcPr>
          <w:p w:rsidR="00A501AF" w:rsidRPr="003F7358" w:rsidRDefault="00A501AF" w:rsidP="00856778">
            <w:pPr>
              <w:jc w:val="right"/>
              <w:cnfStyle w:val="000000010000" w:firstRow="0" w:lastRow="0" w:firstColumn="0" w:lastColumn="0" w:oddVBand="0" w:evenVBand="0" w:oddHBand="0" w:evenHBand="1" w:firstRowFirstColumn="0" w:firstRowLastColumn="0" w:lastRowFirstColumn="0" w:lastRowLastColumn="0"/>
            </w:pPr>
            <w:r w:rsidRPr="003F7358">
              <w:t>$400</w:t>
            </w:r>
          </w:p>
        </w:tc>
      </w:tr>
      <w:tr w:rsidR="00A501AF"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A501AF" w:rsidRPr="003F7358" w:rsidRDefault="00A501AF">
            <w:pPr>
              <w:rPr>
                <w:b w:val="0"/>
              </w:rPr>
            </w:pPr>
            <w:r w:rsidRPr="003F7358">
              <w:t>Monitoring</w:t>
            </w:r>
            <w:r w:rsidR="00CF1A9E" w:rsidRPr="003F7358">
              <w:rPr>
                <w:b w:val="0"/>
              </w:rPr>
              <w:t xml:space="preserve"> </w:t>
            </w:r>
            <w:r w:rsidRPr="003F7358">
              <w:rPr>
                <w:b w:val="0"/>
              </w:rPr>
              <w:t>-</w:t>
            </w:r>
            <w:r w:rsidR="00CF1A9E" w:rsidRPr="003F7358">
              <w:rPr>
                <w:b w:val="0"/>
              </w:rPr>
              <w:t xml:space="preserve"> </w:t>
            </w:r>
            <w:r w:rsidRPr="003F7358">
              <w:rPr>
                <w:b w:val="0"/>
              </w:rPr>
              <w:t>Providing monitoring of court orders as indicated by the court for a period of up to six months. A report is filed with the court regarding monitoring activity and results.</w:t>
            </w:r>
          </w:p>
        </w:tc>
        <w:tc>
          <w:tcPr>
            <w:tcW w:w="1638" w:type="dxa"/>
            <w:shd w:val="clear" w:color="auto" w:fill="F2F2F2" w:themeFill="background1" w:themeFillShade="F2"/>
          </w:tcPr>
          <w:p w:rsidR="00A501AF" w:rsidRPr="003F7358" w:rsidRDefault="00A501AF" w:rsidP="00856778">
            <w:pPr>
              <w:jc w:val="right"/>
              <w:cnfStyle w:val="000000100000" w:firstRow="0" w:lastRow="0" w:firstColumn="0" w:lastColumn="0" w:oddVBand="0" w:evenVBand="0" w:oddHBand="1" w:evenHBand="0" w:firstRowFirstColumn="0" w:firstRowLastColumn="0" w:lastRowFirstColumn="0" w:lastRowLastColumn="0"/>
            </w:pPr>
            <w:r w:rsidRPr="003F7358">
              <w:t>$750</w:t>
            </w:r>
          </w:p>
        </w:tc>
      </w:tr>
      <w:tr w:rsidR="00C30F69"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C30F69" w:rsidRPr="003F7358" w:rsidRDefault="00C30F69">
            <w:pPr>
              <w:rPr>
                <w:b w:val="0"/>
              </w:rPr>
            </w:pPr>
            <w:r w:rsidRPr="003F7358">
              <w:rPr>
                <w:sz w:val="22"/>
                <w:szCs w:val="24"/>
              </w:rPr>
              <w:t>Non-IVD Cooperative Parenting Class</w:t>
            </w:r>
            <w:r w:rsidR="00CF1A9E" w:rsidRPr="003F7358">
              <w:rPr>
                <w:b w:val="0"/>
                <w:sz w:val="22"/>
                <w:szCs w:val="24"/>
              </w:rPr>
              <w:t xml:space="preserve"> </w:t>
            </w:r>
            <w:r w:rsidRPr="003F7358">
              <w:rPr>
                <w:b w:val="0"/>
                <w:sz w:val="22"/>
                <w:szCs w:val="24"/>
              </w:rPr>
              <w:t>-</w:t>
            </w:r>
            <w:r w:rsidR="00CF1A9E" w:rsidRPr="003F7358">
              <w:rPr>
                <w:b w:val="0"/>
                <w:sz w:val="22"/>
                <w:szCs w:val="24"/>
              </w:rPr>
              <w:t xml:space="preserve"> </w:t>
            </w:r>
            <w:r w:rsidRPr="003F7358">
              <w:rPr>
                <w:b w:val="0"/>
                <w:sz w:val="22"/>
                <w:szCs w:val="24"/>
              </w:rPr>
              <w:t>A social worker facilitates a 9 hour cooperative parenting class that teaches parents topics including their legal rights and duties, techniques for sharing parenting time, child development and how divorce affects development, effective communication and conflict resolution.</w:t>
            </w:r>
          </w:p>
        </w:tc>
        <w:tc>
          <w:tcPr>
            <w:tcW w:w="1638" w:type="dxa"/>
          </w:tcPr>
          <w:p w:rsidR="00C30F69" w:rsidRPr="003F7358" w:rsidRDefault="00C30F69" w:rsidP="00856778">
            <w:pPr>
              <w:jc w:val="right"/>
              <w:cnfStyle w:val="000000010000" w:firstRow="0" w:lastRow="0" w:firstColumn="0" w:lastColumn="0" w:oddVBand="0" w:evenVBand="0" w:oddHBand="0" w:evenHBand="1" w:firstRowFirstColumn="0" w:firstRowLastColumn="0" w:lastRowFirstColumn="0" w:lastRowLastColumn="0"/>
            </w:pPr>
            <w:r w:rsidRPr="003F7358">
              <w:t>$50</w:t>
            </w:r>
          </w:p>
        </w:tc>
      </w:tr>
      <w:tr w:rsidR="003F7358" w:rsidRPr="003F7358" w:rsidTr="005919FA">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3F7358" w:rsidRPr="003F7358" w:rsidRDefault="003F7358">
            <w:pPr>
              <w:rPr>
                <w:sz w:val="22"/>
                <w:szCs w:val="24"/>
              </w:rPr>
            </w:pPr>
            <w:r w:rsidRPr="00961AEB">
              <w:rPr>
                <w:sz w:val="22"/>
                <w:szCs w:val="24"/>
              </w:rPr>
              <w:t xml:space="preserve">Non-Support Letter – </w:t>
            </w:r>
            <w:r w:rsidRPr="00961AEB">
              <w:rPr>
                <w:b w:val="0"/>
                <w:sz w:val="22"/>
                <w:szCs w:val="24"/>
              </w:rPr>
              <w:t>A letter given to custodial parents stating no child support payments have been paid through the registry</w:t>
            </w:r>
            <w:r w:rsidR="000A00BC">
              <w:rPr>
                <w:b w:val="0"/>
                <w:sz w:val="22"/>
                <w:szCs w:val="24"/>
              </w:rPr>
              <w:t>.</w:t>
            </w:r>
          </w:p>
        </w:tc>
        <w:tc>
          <w:tcPr>
            <w:tcW w:w="1638" w:type="dxa"/>
            <w:shd w:val="clear" w:color="auto" w:fill="F2F2F2" w:themeFill="background1" w:themeFillShade="F2"/>
          </w:tcPr>
          <w:p w:rsidR="003F7358" w:rsidRPr="003F7358" w:rsidRDefault="003F7358" w:rsidP="00856778">
            <w:pPr>
              <w:jc w:val="right"/>
              <w:cnfStyle w:val="000000100000" w:firstRow="0" w:lastRow="0" w:firstColumn="0" w:lastColumn="0" w:oddVBand="0" w:evenVBand="0" w:oddHBand="1" w:evenHBand="0" w:firstRowFirstColumn="0" w:firstRowLastColumn="0" w:lastRowFirstColumn="0" w:lastRowLastColumn="0"/>
            </w:pPr>
            <w:r w:rsidRPr="003F7358">
              <w:t>$0</w:t>
            </w:r>
          </w:p>
        </w:tc>
      </w:tr>
      <w:tr w:rsidR="003F7358"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3F7358" w:rsidRPr="003F7358" w:rsidRDefault="003F7358">
            <w:pPr>
              <w:rPr>
                <w:sz w:val="22"/>
                <w:szCs w:val="24"/>
              </w:rPr>
            </w:pPr>
            <w:r w:rsidRPr="00961AEB">
              <w:rPr>
                <w:sz w:val="22"/>
                <w:szCs w:val="24"/>
              </w:rPr>
              <w:t xml:space="preserve">Payment Ledger Request – </w:t>
            </w:r>
            <w:r w:rsidRPr="00961AEB">
              <w:rPr>
                <w:b w:val="0"/>
                <w:sz w:val="22"/>
                <w:szCs w:val="24"/>
              </w:rPr>
              <w:t>A print out of all child support payments paid through the DRO &amp; the State Disbursement</w:t>
            </w:r>
          </w:p>
        </w:tc>
        <w:tc>
          <w:tcPr>
            <w:tcW w:w="1638" w:type="dxa"/>
          </w:tcPr>
          <w:p w:rsidR="003F7358" w:rsidRPr="003F7358" w:rsidRDefault="003F7358" w:rsidP="00856778">
            <w:pPr>
              <w:jc w:val="right"/>
              <w:cnfStyle w:val="000000010000" w:firstRow="0" w:lastRow="0" w:firstColumn="0" w:lastColumn="0" w:oddVBand="0" w:evenVBand="0" w:oddHBand="0" w:evenHBand="1" w:firstRowFirstColumn="0" w:firstRowLastColumn="0" w:lastRowFirstColumn="0" w:lastRowLastColumn="0"/>
            </w:pPr>
            <w:r w:rsidRPr="003F7358">
              <w:t>$</w:t>
            </w:r>
            <w:r w:rsidR="00ED32EB">
              <w:t>0</w:t>
            </w:r>
          </w:p>
        </w:tc>
      </w:tr>
      <w:tr w:rsidR="00D94711"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D94711" w:rsidRPr="003F7358" w:rsidRDefault="00D94711">
            <w:r w:rsidRPr="003F7358">
              <w:t>Paralegal Time</w:t>
            </w:r>
          </w:p>
        </w:tc>
        <w:tc>
          <w:tcPr>
            <w:tcW w:w="1638" w:type="dxa"/>
            <w:shd w:val="clear" w:color="auto" w:fill="F2F2F2" w:themeFill="background1" w:themeFillShade="F2"/>
          </w:tcPr>
          <w:p w:rsidR="00D94711" w:rsidRPr="003F7358" w:rsidRDefault="00654B84" w:rsidP="00856778">
            <w:pPr>
              <w:jc w:val="right"/>
              <w:cnfStyle w:val="000000100000" w:firstRow="0" w:lastRow="0" w:firstColumn="0" w:lastColumn="0" w:oddVBand="0" w:evenVBand="0" w:oddHBand="1" w:evenHBand="0" w:firstRowFirstColumn="0" w:firstRowLastColumn="0" w:lastRowFirstColumn="0" w:lastRowLastColumn="0"/>
            </w:pPr>
            <w:r>
              <w:t>Billed at $75</w:t>
            </w:r>
            <w:r w:rsidR="00D94711" w:rsidRPr="003F7358">
              <w:t>per hour</w:t>
            </w:r>
          </w:p>
        </w:tc>
      </w:tr>
      <w:tr w:rsidR="000A00BC" w:rsidRPr="003F7358" w:rsidTr="005919FA">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938" w:type="dxa"/>
          </w:tcPr>
          <w:p w:rsidR="00D94711" w:rsidRPr="003F7358" w:rsidRDefault="00D94711" w:rsidP="00D94711">
            <w:pPr>
              <w:rPr>
                <w:b w:val="0"/>
              </w:rPr>
            </w:pPr>
            <w:r w:rsidRPr="003F7358">
              <w:t>Parenting Coordinator</w:t>
            </w:r>
            <w:r w:rsidR="00CF1A9E" w:rsidRPr="003F7358">
              <w:rPr>
                <w:b w:val="0"/>
              </w:rPr>
              <w:t xml:space="preserve"> </w:t>
            </w:r>
            <w:r w:rsidRPr="003F7358">
              <w:rPr>
                <w:b w:val="0"/>
              </w:rPr>
              <w:t>-</w:t>
            </w:r>
            <w:r w:rsidR="00CF1A9E" w:rsidRPr="003F7358">
              <w:rPr>
                <w:b w:val="0"/>
              </w:rPr>
              <w:t xml:space="preserve"> </w:t>
            </w:r>
            <w:r w:rsidRPr="003F7358">
              <w:rPr>
                <w:b w:val="0"/>
              </w:rPr>
              <w:t>A social worker is appointed as an impartial third party who assists parties in resolving parenting issues through confidential procedures.</w:t>
            </w:r>
          </w:p>
          <w:p w:rsidR="005D30A9" w:rsidRPr="003F7358" w:rsidRDefault="005D30A9">
            <w:pPr>
              <w:rPr>
                <w:b w:val="0"/>
              </w:rPr>
            </w:pPr>
          </w:p>
        </w:tc>
        <w:tc>
          <w:tcPr>
            <w:tcW w:w="1638" w:type="dxa"/>
          </w:tcPr>
          <w:p w:rsidR="005D30A9" w:rsidRPr="003F7358" w:rsidRDefault="00C71207" w:rsidP="00856778">
            <w:pPr>
              <w:jc w:val="right"/>
              <w:cnfStyle w:val="000000010000" w:firstRow="0" w:lastRow="0" w:firstColumn="0" w:lastColumn="0" w:oddVBand="0" w:evenVBand="0" w:oddHBand="0" w:evenHBand="1" w:firstRowFirstColumn="0" w:firstRowLastColumn="0" w:lastRowFirstColumn="0" w:lastRowLastColumn="0"/>
            </w:pPr>
            <w:r>
              <w:t>$750</w:t>
            </w:r>
            <w:r w:rsidR="00C04818">
              <w:t xml:space="preserve"> per year</w:t>
            </w:r>
          </w:p>
        </w:tc>
      </w:tr>
      <w:tr w:rsidR="00D94711" w:rsidRPr="003F7358" w:rsidTr="00591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D94711" w:rsidRPr="003F7358" w:rsidRDefault="00D94711" w:rsidP="00D94711">
            <w:pPr>
              <w:rPr>
                <w:b w:val="0"/>
              </w:rPr>
            </w:pPr>
            <w:r w:rsidRPr="003F7358">
              <w:t>Parenting Facilitator</w:t>
            </w:r>
            <w:r w:rsidR="00CF1A9E" w:rsidRPr="003F7358">
              <w:rPr>
                <w:b w:val="0"/>
              </w:rPr>
              <w:t xml:space="preserve"> </w:t>
            </w:r>
            <w:r w:rsidRPr="003F7358">
              <w:rPr>
                <w:b w:val="0"/>
              </w:rPr>
              <w:t>-</w:t>
            </w:r>
            <w:r w:rsidR="00CF1A9E" w:rsidRPr="003F7358">
              <w:rPr>
                <w:b w:val="0"/>
              </w:rPr>
              <w:t xml:space="preserve"> </w:t>
            </w:r>
            <w:r w:rsidRPr="003F7358">
              <w:rPr>
                <w:b w:val="0"/>
              </w:rPr>
              <w:t>A social worker is appointed as an impartial third party who assists parties in identifying issues, reducing misunderstandings, and resolving parenting issues.  This is a non-confidential process and requires a report to the court.</w:t>
            </w:r>
          </w:p>
        </w:tc>
        <w:tc>
          <w:tcPr>
            <w:tcW w:w="1638" w:type="dxa"/>
            <w:shd w:val="clear" w:color="auto" w:fill="F2F2F2" w:themeFill="background1" w:themeFillShade="F2"/>
          </w:tcPr>
          <w:p w:rsidR="00D94711" w:rsidRPr="003F7358" w:rsidRDefault="00C71207" w:rsidP="00856778">
            <w:pPr>
              <w:jc w:val="right"/>
              <w:cnfStyle w:val="000000100000" w:firstRow="0" w:lastRow="0" w:firstColumn="0" w:lastColumn="0" w:oddVBand="0" w:evenVBand="0" w:oddHBand="1" w:evenHBand="0" w:firstRowFirstColumn="0" w:firstRowLastColumn="0" w:lastRowFirstColumn="0" w:lastRowLastColumn="0"/>
            </w:pPr>
            <w:r>
              <w:t>$750</w:t>
            </w:r>
            <w:r w:rsidR="00D94711" w:rsidRPr="003F7358">
              <w:t xml:space="preserve"> per year</w:t>
            </w:r>
          </w:p>
        </w:tc>
      </w:tr>
      <w:tr w:rsidR="000A00BC" w:rsidRPr="003F7358" w:rsidTr="00591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rsidR="00D94711" w:rsidRPr="003F7358" w:rsidRDefault="00D94711" w:rsidP="00D94711">
            <w:pPr>
              <w:rPr>
                <w:b w:val="0"/>
              </w:rPr>
            </w:pPr>
            <w:r w:rsidRPr="003F7358">
              <w:t>Paternity (Genetic Testing)</w:t>
            </w:r>
            <w:r w:rsidR="00CF1A9E" w:rsidRPr="003F7358">
              <w:rPr>
                <w:b w:val="0"/>
              </w:rPr>
              <w:t xml:space="preserve"> </w:t>
            </w:r>
            <w:r w:rsidRPr="003F7358">
              <w:rPr>
                <w:b w:val="0"/>
              </w:rPr>
              <w:t>-</w:t>
            </w:r>
            <w:r w:rsidR="00CF1A9E" w:rsidRPr="003F7358">
              <w:rPr>
                <w:b w:val="0"/>
              </w:rPr>
              <w:t xml:space="preserve"> </w:t>
            </w:r>
            <w:r w:rsidRPr="003F7358">
              <w:rPr>
                <w:b w:val="0"/>
              </w:rPr>
              <w:t>A social worker assists in the scheduling of paternity testing that is conducted at the DRO with the social worker present.  A report is filed with the court.  The paternity testing incurs a separate fee.</w:t>
            </w:r>
          </w:p>
        </w:tc>
        <w:tc>
          <w:tcPr>
            <w:tcW w:w="1638" w:type="dxa"/>
          </w:tcPr>
          <w:p w:rsidR="00D94711" w:rsidRPr="003F7358" w:rsidRDefault="00D94711" w:rsidP="00856778">
            <w:pPr>
              <w:jc w:val="right"/>
              <w:cnfStyle w:val="000000010000" w:firstRow="0" w:lastRow="0" w:firstColumn="0" w:lastColumn="0" w:oddVBand="0" w:evenVBand="0" w:oddHBand="0" w:evenHBand="1" w:firstRowFirstColumn="0" w:firstRowLastColumn="0" w:lastRowFirstColumn="0" w:lastRowLastColumn="0"/>
            </w:pPr>
            <w:r w:rsidRPr="003F7358">
              <w:t>$125</w:t>
            </w:r>
          </w:p>
        </w:tc>
      </w:tr>
      <w:tr w:rsidR="00D94711" w:rsidRPr="003F7358" w:rsidTr="005919FA">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938" w:type="dxa"/>
            <w:shd w:val="clear" w:color="auto" w:fill="F2F2F2" w:themeFill="background1" w:themeFillShade="F2"/>
          </w:tcPr>
          <w:p w:rsidR="00D94711" w:rsidRPr="003F7358" w:rsidRDefault="00D94711" w:rsidP="002D48A3">
            <w:pPr>
              <w:rPr>
                <w:b w:val="0"/>
              </w:rPr>
            </w:pPr>
            <w:r w:rsidRPr="003F7358">
              <w:t>Probation Fee</w:t>
            </w:r>
            <w:r w:rsidR="00CF1A9E" w:rsidRPr="003F7358">
              <w:rPr>
                <w:b w:val="0"/>
              </w:rPr>
              <w:t xml:space="preserve"> </w:t>
            </w:r>
            <w:r w:rsidRPr="003F7358">
              <w:rPr>
                <w:b w:val="0"/>
              </w:rPr>
              <w:t>-</w:t>
            </w:r>
            <w:r w:rsidR="00CF1A9E" w:rsidRPr="003F7358">
              <w:rPr>
                <w:b w:val="0"/>
              </w:rPr>
              <w:t xml:space="preserve"> </w:t>
            </w:r>
            <w:r w:rsidRPr="003F7358">
              <w:rPr>
                <w:b w:val="0"/>
              </w:rPr>
              <w:t>Parents placed on Probation by the Courts are as</w:t>
            </w:r>
            <w:r w:rsidR="002D48A3" w:rsidRPr="003F7358">
              <w:rPr>
                <w:b w:val="0"/>
              </w:rPr>
              <w:t xml:space="preserve">sessed a monthly fee until they </w:t>
            </w:r>
            <w:r w:rsidRPr="003F7358">
              <w:rPr>
                <w:b w:val="0"/>
              </w:rPr>
              <w:t>are either removed from Probation or the term expires.</w:t>
            </w:r>
            <w:r w:rsidRPr="003F7358">
              <w:rPr>
                <w:b w:val="0"/>
              </w:rPr>
              <w:tab/>
            </w:r>
          </w:p>
        </w:tc>
        <w:tc>
          <w:tcPr>
            <w:tcW w:w="1638" w:type="dxa"/>
            <w:shd w:val="clear" w:color="auto" w:fill="F2F2F2" w:themeFill="background1" w:themeFillShade="F2"/>
          </w:tcPr>
          <w:p w:rsidR="00D94711" w:rsidRPr="003F7358" w:rsidRDefault="00C71207" w:rsidP="00856778">
            <w:pPr>
              <w:jc w:val="right"/>
              <w:cnfStyle w:val="000000100000" w:firstRow="0" w:lastRow="0" w:firstColumn="0" w:lastColumn="0" w:oddVBand="0" w:evenVBand="0" w:oddHBand="1" w:evenHBand="0" w:firstRowFirstColumn="0" w:firstRowLastColumn="0" w:lastRowFirstColumn="0" w:lastRowLastColumn="0"/>
            </w:pPr>
            <w:r>
              <w:t xml:space="preserve">$30 </w:t>
            </w:r>
            <w:r w:rsidR="00D94711" w:rsidRPr="003F7358">
              <w:t>monthly</w:t>
            </w:r>
          </w:p>
        </w:tc>
      </w:tr>
    </w:tbl>
    <w:p w:rsidR="00B803A6" w:rsidRDefault="00B803A6"/>
    <w:sectPr w:rsidR="00B803A6" w:rsidSect="00200780">
      <w:headerReference w:type="default" r:id="rId7"/>
      <w:headerReference w:type="first" r:id="rId8"/>
      <w:footerReference w:type="first" r:id="rId9"/>
      <w:pgSz w:w="12240" w:h="15840"/>
      <w:pgMar w:top="1440" w:right="1440" w:bottom="1440" w:left="1440" w:header="288"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B0" w:rsidRDefault="00BA1BB0" w:rsidP="00D94711">
      <w:r>
        <w:separator/>
      </w:r>
    </w:p>
  </w:endnote>
  <w:endnote w:type="continuationSeparator" w:id="0">
    <w:p w:rsidR="00BA1BB0" w:rsidRDefault="00BA1BB0" w:rsidP="00D9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48001"/>
      <w:docPartObj>
        <w:docPartGallery w:val="Page Numbers (Bottom of Page)"/>
        <w:docPartUnique/>
      </w:docPartObj>
    </w:sdtPr>
    <w:sdtEndPr/>
    <w:sdtContent>
      <w:sdt>
        <w:sdtPr>
          <w:id w:val="565050477"/>
          <w:docPartObj>
            <w:docPartGallery w:val="Page Numbers (Top of Page)"/>
            <w:docPartUnique/>
          </w:docPartObj>
        </w:sdtPr>
        <w:sdtEndPr/>
        <w:sdtContent>
          <w:p w:rsidR="009149D2" w:rsidRDefault="002167D5">
            <w:pPr>
              <w:pStyle w:val="Footer"/>
              <w:jc w:val="center"/>
            </w:pPr>
          </w:p>
        </w:sdtContent>
      </w:sdt>
    </w:sdtContent>
  </w:sdt>
  <w:p w:rsidR="009149D2" w:rsidRDefault="00914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B0" w:rsidRDefault="00BA1BB0" w:rsidP="00D94711">
      <w:r>
        <w:separator/>
      </w:r>
    </w:p>
  </w:footnote>
  <w:footnote w:type="continuationSeparator" w:id="0">
    <w:p w:rsidR="00BA1BB0" w:rsidRDefault="00BA1BB0" w:rsidP="00D9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4D" w:rsidRPr="00200780" w:rsidRDefault="00FB694D" w:rsidP="00200780">
    <w:pPr>
      <w:pStyle w:val="Header"/>
    </w:pPr>
    <w:r w:rsidRPr="00200780">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80" w:rsidRDefault="00200780" w:rsidP="00200780">
    <w:pPr>
      <w:pStyle w:val="Header"/>
      <w:spacing w:after="120"/>
      <w:jc w:val="center"/>
    </w:pPr>
    <w:r>
      <w:rPr>
        <w:noProof/>
      </w:rPr>
      <w:drawing>
        <wp:inline distT="0" distB="0" distL="0" distR="0">
          <wp:extent cx="923925" cy="914400"/>
          <wp:effectExtent l="19050" t="0" r="9525" b="0"/>
          <wp:docPr id="3" name="Picture 1" descr="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web"/>
                  <pic:cNvPicPr>
                    <a:picLocks noChangeAspect="1" noChangeArrowheads="1"/>
                  </pic:cNvPicPr>
                </pic:nvPicPr>
                <pic:blipFill>
                  <a:blip r:embed="rId1"/>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200780" w:rsidRPr="00200780" w:rsidRDefault="00200780" w:rsidP="00200780">
    <w:pPr>
      <w:pStyle w:val="Header"/>
      <w:spacing w:after="120"/>
      <w:jc w:val="center"/>
      <w:rPr>
        <w:b/>
        <w:smallCaps/>
        <w:sz w:val="28"/>
      </w:rPr>
    </w:pPr>
    <w:r w:rsidRPr="00200780">
      <w:rPr>
        <w:b/>
        <w:smallCaps/>
        <w:sz w:val="28"/>
      </w:rPr>
      <w:t>Domestic relations office</w:t>
    </w:r>
  </w:p>
  <w:p w:rsidR="009149D2" w:rsidRPr="009149D2" w:rsidRDefault="009149D2" w:rsidP="009149D2">
    <w:pPr>
      <w:pStyle w:val="Header"/>
      <w:jc w:val="center"/>
      <w:rPr>
        <w:b/>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0MjcyNzE3tjQws7BQ0lEKTi0uzszPAykwqgUAw/S7uiwAAAA="/>
  </w:docVars>
  <w:rsids>
    <w:rsidRoot w:val="00F3409D"/>
    <w:rsid w:val="000325AD"/>
    <w:rsid w:val="000358E3"/>
    <w:rsid w:val="00042C29"/>
    <w:rsid w:val="000733A7"/>
    <w:rsid w:val="000A00BC"/>
    <w:rsid w:val="00200780"/>
    <w:rsid w:val="002167D5"/>
    <w:rsid w:val="00226AE8"/>
    <w:rsid w:val="00242C16"/>
    <w:rsid w:val="0026512A"/>
    <w:rsid w:val="00294166"/>
    <w:rsid w:val="002A5360"/>
    <w:rsid w:val="002C1F58"/>
    <w:rsid w:val="002D48A3"/>
    <w:rsid w:val="002D5CE2"/>
    <w:rsid w:val="00383174"/>
    <w:rsid w:val="003A246B"/>
    <w:rsid w:val="003B0545"/>
    <w:rsid w:val="003C40DD"/>
    <w:rsid w:val="003D4250"/>
    <w:rsid w:val="003E1A60"/>
    <w:rsid w:val="003F68DB"/>
    <w:rsid w:val="003F7358"/>
    <w:rsid w:val="0041620C"/>
    <w:rsid w:val="004230A6"/>
    <w:rsid w:val="0048477B"/>
    <w:rsid w:val="00555A63"/>
    <w:rsid w:val="00570505"/>
    <w:rsid w:val="005919FA"/>
    <w:rsid w:val="005D30A9"/>
    <w:rsid w:val="005D66CB"/>
    <w:rsid w:val="00654B84"/>
    <w:rsid w:val="006B5D7F"/>
    <w:rsid w:val="00725B73"/>
    <w:rsid w:val="00760642"/>
    <w:rsid w:val="00856778"/>
    <w:rsid w:val="00856F8D"/>
    <w:rsid w:val="008665A1"/>
    <w:rsid w:val="008F0A45"/>
    <w:rsid w:val="009149D2"/>
    <w:rsid w:val="00933518"/>
    <w:rsid w:val="00961AEB"/>
    <w:rsid w:val="00972B0D"/>
    <w:rsid w:val="00991026"/>
    <w:rsid w:val="009B0268"/>
    <w:rsid w:val="009E561B"/>
    <w:rsid w:val="00A501AF"/>
    <w:rsid w:val="00AB044E"/>
    <w:rsid w:val="00B277A4"/>
    <w:rsid w:val="00B40AF2"/>
    <w:rsid w:val="00B534E2"/>
    <w:rsid w:val="00B803A6"/>
    <w:rsid w:val="00BA1BB0"/>
    <w:rsid w:val="00C04818"/>
    <w:rsid w:val="00C30F69"/>
    <w:rsid w:val="00C37911"/>
    <w:rsid w:val="00C71207"/>
    <w:rsid w:val="00C750B4"/>
    <w:rsid w:val="00C8175F"/>
    <w:rsid w:val="00C81AF6"/>
    <w:rsid w:val="00C84ED2"/>
    <w:rsid w:val="00C8617B"/>
    <w:rsid w:val="00CE5B42"/>
    <w:rsid w:val="00CF1A9E"/>
    <w:rsid w:val="00D12A8C"/>
    <w:rsid w:val="00D429CD"/>
    <w:rsid w:val="00D67A7D"/>
    <w:rsid w:val="00D83F35"/>
    <w:rsid w:val="00D94711"/>
    <w:rsid w:val="00DD0EFE"/>
    <w:rsid w:val="00E41A9B"/>
    <w:rsid w:val="00E532EB"/>
    <w:rsid w:val="00EA5708"/>
    <w:rsid w:val="00EA68AA"/>
    <w:rsid w:val="00EA7B09"/>
    <w:rsid w:val="00ED32EB"/>
    <w:rsid w:val="00EF195C"/>
    <w:rsid w:val="00F0394F"/>
    <w:rsid w:val="00F16928"/>
    <w:rsid w:val="00F3409D"/>
    <w:rsid w:val="00FB694D"/>
    <w:rsid w:val="00FC5F22"/>
    <w:rsid w:val="00FC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E4FE0CB-28DC-4E71-ADE3-19095072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09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4711"/>
    <w:pPr>
      <w:keepNext/>
      <w:jc w:val="center"/>
      <w:outlineLvl w:val="0"/>
    </w:pPr>
    <w:rPr>
      <w:b/>
      <w:sz w:val="36"/>
    </w:rPr>
  </w:style>
  <w:style w:type="paragraph" w:styleId="Heading2">
    <w:name w:val="heading 2"/>
    <w:basedOn w:val="Normal"/>
    <w:next w:val="Normal"/>
    <w:link w:val="Heading2Char"/>
    <w:qFormat/>
    <w:rsid w:val="00D9471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94711"/>
    <w:pPr>
      <w:tabs>
        <w:tab w:val="center" w:pos="4680"/>
        <w:tab w:val="right" w:pos="9360"/>
      </w:tabs>
    </w:pPr>
  </w:style>
  <w:style w:type="character" w:customStyle="1" w:styleId="HeaderChar">
    <w:name w:val="Header Char"/>
    <w:basedOn w:val="DefaultParagraphFont"/>
    <w:link w:val="Header"/>
    <w:uiPriority w:val="99"/>
    <w:semiHidden/>
    <w:rsid w:val="00D947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4711"/>
    <w:pPr>
      <w:tabs>
        <w:tab w:val="center" w:pos="4680"/>
        <w:tab w:val="right" w:pos="9360"/>
      </w:tabs>
    </w:pPr>
  </w:style>
  <w:style w:type="character" w:customStyle="1" w:styleId="FooterChar">
    <w:name w:val="Footer Char"/>
    <w:basedOn w:val="DefaultParagraphFont"/>
    <w:link w:val="Footer"/>
    <w:uiPriority w:val="99"/>
    <w:rsid w:val="00D94711"/>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94711"/>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D94711"/>
    <w:rPr>
      <w:rFonts w:ascii="Times New Roman" w:eastAsia="Times New Roman" w:hAnsi="Times New Roman" w:cs="Times New Roman"/>
      <w:sz w:val="24"/>
      <w:szCs w:val="20"/>
    </w:rPr>
  </w:style>
  <w:style w:type="character" w:styleId="Hyperlink">
    <w:name w:val="Hyperlink"/>
    <w:basedOn w:val="DefaultParagraphFont"/>
    <w:rsid w:val="00D94711"/>
    <w:rPr>
      <w:color w:val="0000FF"/>
      <w:u w:val="single"/>
    </w:rPr>
  </w:style>
  <w:style w:type="paragraph" w:styleId="BalloonText">
    <w:name w:val="Balloon Text"/>
    <w:basedOn w:val="Normal"/>
    <w:link w:val="BalloonTextChar"/>
    <w:uiPriority w:val="99"/>
    <w:semiHidden/>
    <w:unhideWhenUsed/>
    <w:rsid w:val="00D94711"/>
    <w:rPr>
      <w:rFonts w:ascii="Tahoma" w:hAnsi="Tahoma" w:cs="Tahoma"/>
      <w:sz w:val="16"/>
      <w:szCs w:val="16"/>
    </w:rPr>
  </w:style>
  <w:style w:type="character" w:customStyle="1" w:styleId="BalloonTextChar">
    <w:name w:val="Balloon Text Char"/>
    <w:basedOn w:val="DefaultParagraphFont"/>
    <w:link w:val="BalloonText"/>
    <w:uiPriority w:val="99"/>
    <w:semiHidden/>
    <w:rsid w:val="00D94711"/>
    <w:rPr>
      <w:rFonts w:ascii="Tahoma" w:eastAsia="Times New Roman" w:hAnsi="Tahoma" w:cs="Tahoma"/>
      <w:sz w:val="16"/>
      <w:szCs w:val="16"/>
    </w:rPr>
  </w:style>
  <w:style w:type="table" w:customStyle="1" w:styleId="LightShading1">
    <w:name w:val="Light Shading1"/>
    <w:basedOn w:val="TableNormal"/>
    <w:uiPriority w:val="60"/>
    <w:rsid w:val="00972B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67A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D67A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389DB-2D5A-411F-8DB2-60055272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5986</TotalTime>
  <Pages>2</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El Paso County</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comoreno</dc:creator>
  <cp:lastModifiedBy>Connie Moreno</cp:lastModifiedBy>
  <cp:revision>6</cp:revision>
  <cp:lastPrinted>2016-05-06T19:26:00Z</cp:lastPrinted>
  <dcterms:created xsi:type="dcterms:W3CDTF">2019-10-10T15:21:00Z</dcterms:created>
  <dcterms:modified xsi:type="dcterms:W3CDTF">2019-12-03T21:16:00Z</dcterms:modified>
</cp:coreProperties>
</file>